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重庆城市管理职业学院校区扩建工程——重庆市养老产业人才培养公共实训基地、教学实训楼、供电系统10KV配电和主道路管网</w:t>
      </w:r>
    </w:p>
    <w:p>
      <w:pPr>
        <w:rPr>
          <w:rFonts w:hint="eastAsia" w:ascii="宋体" w:hAnsi="宋体"/>
          <w:bCs/>
          <w:sz w:val="28"/>
          <w:szCs w:val="28"/>
        </w:rPr>
      </w:pPr>
    </w:p>
    <w:p>
      <w:pPr>
        <w:rPr>
          <w:rFonts w:hint="eastAsia" w:ascii="宋体" w:hAnsi="宋体"/>
          <w:b/>
          <w:bCs/>
          <w:sz w:val="28"/>
          <w:szCs w:val="28"/>
        </w:rPr>
      </w:pPr>
    </w:p>
    <w:p>
      <w:pPr>
        <w:rPr>
          <w:rFonts w:hint="eastAsia" w:ascii="宋体" w:hAnsi="宋体"/>
          <w:b/>
          <w:bCs/>
          <w:sz w:val="28"/>
          <w:szCs w:val="28"/>
        </w:rPr>
      </w:pPr>
    </w:p>
    <w:p>
      <w:pPr>
        <w:rPr>
          <w:rFonts w:hint="eastAsia" w:ascii="宋体" w:hAnsi="宋体"/>
          <w:b/>
          <w:bCs/>
          <w:sz w:val="28"/>
          <w:szCs w:val="28"/>
        </w:rPr>
      </w:pPr>
    </w:p>
    <w:p>
      <w:pPr>
        <w:pStyle w:val="2"/>
        <w:jc w:val="center"/>
        <w:rPr>
          <w:rFonts w:hint="eastAsia"/>
          <w:sz w:val="72"/>
          <w:szCs w:val="72"/>
        </w:rPr>
      </w:pPr>
    </w:p>
    <w:p>
      <w:pPr>
        <w:pStyle w:val="2"/>
        <w:jc w:val="center"/>
        <w:rPr>
          <w:rFonts w:hint="eastAsia"/>
          <w:sz w:val="72"/>
          <w:szCs w:val="72"/>
        </w:rPr>
      </w:pPr>
      <w:r>
        <w:rPr>
          <w:rFonts w:hint="eastAsia"/>
          <w:sz w:val="72"/>
          <w:szCs w:val="72"/>
        </w:rPr>
        <w:t>跟踪审计周报</w:t>
      </w:r>
    </w:p>
    <w:p>
      <w:pPr>
        <w:jc w:val="center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第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b/>
          <w:bCs/>
          <w:sz w:val="28"/>
          <w:szCs w:val="28"/>
        </w:rPr>
        <w:t>周</w:t>
      </w:r>
    </w:p>
    <w:p>
      <w:pPr>
        <w:jc w:val="center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2018年1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b/>
          <w:bCs/>
          <w:sz w:val="28"/>
          <w:szCs w:val="28"/>
        </w:rPr>
        <w:t>月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12</w:t>
      </w:r>
      <w:r>
        <w:rPr>
          <w:rFonts w:hint="eastAsia" w:ascii="宋体" w:hAnsi="宋体"/>
          <w:b/>
          <w:bCs/>
          <w:sz w:val="28"/>
          <w:szCs w:val="28"/>
        </w:rPr>
        <w:t>日-1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b/>
          <w:bCs/>
          <w:sz w:val="28"/>
          <w:szCs w:val="28"/>
        </w:rPr>
        <w:t>月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16</w:t>
      </w:r>
      <w:r>
        <w:rPr>
          <w:rFonts w:hint="eastAsia" w:ascii="宋体" w:hAnsi="宋体"/>
          <w:b/>
          <w:bCs/>
          <w:sz w:val="28"/>
          <w:szCs w:val="28"/>
        </w:rPr>
        <w:t>日</w:t>
      </w:r>
    </w:p>
    <w:p>
      <w:pPr>
        <w:jc w:val="center"/>
        <w:rPr>
          <w:rFonts w:hint="eastAsia" w:ascii="宋体" w:hAnsi="宋体"/>
          <w:b/>
          <w:bCs/>
          <w:sz w:val="28"/>
          <w:szCs w:val="28"/>
        </w:rPr>
      </w:pPr>
    </w:p>
    <w:p>
      <w:pPr>
        <w:rPr>
          <w:rFonts w:hint="eastAsia" w:ascii="宋体" w:hAnsi="宋体"/>
          <w:b/>
          <w:bCs/>
          <w:sz w:val="28"/>
          <w:szCs w:val="28"/>
        </w:rPr>
      </w:pPr>
    </w:p>
    <w:p>
      <w:pPr>
        <w:rPr>
          <w:rFonts w:hint="eastAsia" w:ascii="宋体" w:hAnsi="宋体"/>
          <w:b/>
          <w:bCs/>
          <w:sz w:val="28"/>
          <w:szCs w:val="28"/>
        </w:rPr>
      </w:pPr>
    </w:p>
    <w:p>
      <w:pPr>
        <w:rPr>
          <w:rFonts w:hint="eastAsia" w:ascii="宋体" w:hAnsi="宋体"/>
          <w:b/>
          <w:bCs/>
          <w:sz w:val="28"/>
          <w:szCs w:val="28"/>
        </w:rPr>
      </w:pPr>
    </w:p>
    <w:p>
      <w:pPr>
        <w:rPr>
          <w:rFonts w:hint="eastAsia" w:ascii="宋体" w:hAnsi="宋体"/>
          <w:b/>
          <w:bCs/>
          <w:sz w:val="28"/>
          <w:szCs w:val="28"/>
        </w:rPr>
      </w:pPr>
    </w:p>
    <w:p>
      <w:pPr>
        <w:rPr>
          <w:rFonts w:hint="eastAsia" w:ascii="宋体" w:hAnsi="宋体"/>
          <w:b/>
          <w:bCs/>
          <w:sz w:val="28"/>
          <w:szCs w:val="28"/>
        </w:rPr>
      </w:pPr>
    </w:p>
    <w:p>
      <w:pPr>
        <w:rPr>
          <w:rFonts w:hint="eastAsia" w:ascii="宋体" w:hAnsi="宋体"/>
          <w:b/>
          <w:bCs/>
          <w:sz w:val="28"/>
          <w:szCs w:val="28"/>
        </w:rPr>
      </w:pPr>
    </w:p>
    <w:p>
      <w:pPr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咨询单位：重庆信通工程造价咨询有限公司</w:t>
      </w:r>
    </w:p>
    <w:p>
      <w:pPr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编制日期：</w:t>
      </w:r>
      <w:r>
        <w:rPr>
          <w:rFonts w:ascii="宋体" w:hAnsi="宋体"/>
          <w:bCs/>
          <w:sz w:val="28"/>
          <w:szCs w:val="28"/>
        </w:rPr>
        <w:t>2018年</w:t>
      </w:r>
      <w:r>
        <w:rPr>
          <w:rFonts w:hint="eastAsia" w:ascii="宋体" w:hAnsi="宋体"/>
          <w:bCs/>
          <w:sz w:val="28"/>
          <w:szCs w:val="28"/>
        </w:rPr>
        <w:t>1</w:t>
      </w:r>
      <w:r>
        <w:rPr>
          <w:rFonts w:hint="eastAsia" w:ascii="宋体" w:hAnsi="宋体"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bCs/>
          <w:sz w:val="28"/>
          <w:szCs w:val="28"/>
        </w:rPr>
        <w:t>月</w:t>
      </w:r>
      <w:r>
        <w:rPr>
          <w:rFonts w:hint="eastAsia" w:ascii="宋体" w:hAnsi="宋体"/>
          <w:bCs/>
          <w:sz w:val="28"/>
          <w:szCs w:val="28"/>
          <w:lang w:val="en-US" w:eastAsia="zh-CN"/>
        </w:rPr>
        <w:t>16</w:t>
      </w:r>
      <w:r>
        <w:rPr>
          <w:rFonts w:hint="eastAsia" w:ascii="宋体" w:hAnsi="宋体"/>
          <w:bCs/>
          <w:sz w:val="28"/>
          <w:szCs w:val="28"/>
        </w:rPr>
        <w:t>日</w:t>
      </w:r>
    </w:p>
    <w:p/>
    <w:p>
      <w:pPr>
        <w:jc w:val="center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重庆城市管理职业学院校区扩建工程——重庆市养老产业人才培养公共实训基地、教学实训楼、供电系统10KV配电和主道路管网</w:t>
      </w:r>
    </w:p>
    <w:p>
      <w:pPr>
        <w:jc w:val="center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2018年1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b/>
          <w:bCs/>
          <w:sz w:val="28"/>
          <w:szCs w:val="28"/>
        </w:rPr>
        <w:t>月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12</w:t>
      </w:r>
      <w:r>
        <w:rPr>
          <w:rFonts w:hint="eastAsia" w:ascii="宋体" w:hAnsi="宋体"/>
          <w:b/>
          <w:bCs/>
          <w:sz w:val="28"/>
          <w:szCs w:val="28"/>
        </w:rPr>
        <w:t>日-1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b/>
          <w:bCs/>
          <w:sz w:val="28"/>
          <w:szCs w:val="28"/>
        </w:rPr>
        <w:t>月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16</w:t>
      </w:r>
      <w:r>
        <w:rPr>
          <w:rFonts w:hint="eastAsia" w:ascii="宋体" w:hAnsi="宋体"/>
          <w:b/>
          <w:bCs/>
          <w:sz w:val="28"/>
          <w:szCs w:val="28"/>
        </w:rPr>
        <w:t>日跟踪审计报告</w:t>
      </w:r>
    </w:p>
    <w:p>
      <w:pPr>
        <w:jc w:val="center"/>
        <w:rPr>
          <w:rFonts w:hint="eastAsia" w:ascii="宋体" w:hAnsi="宋体"/>
          <w:b/>
          <w:bCs/>
          <w:sz w:val="28"/>
          <w:szCs w:val="28"/>
        </w:rPr>
      </w:pPr>
    </w:p>
    <w:p>
      <w:pPr>
        <w:pStyle w:val="10"/>
        <w:numPr>
          <w:ilvl w:val="0"/>
          <w:numId w:val="1"/>
        </w:numPr>
        <w:ind w:firstLineChars="0"/>
        <w:jc w:val="left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工程概况</w:t>
      </w:r>
    </w:p>
    <w:p>
      <w:pPr>
        <w:ind w:firstLine="280" w:firstLineChars="10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本工程为重庆市城市管理职业学院校区扩建工程--重庆市养老产业人才培养公共实训基地、教学实训楼、供电系统10KV配电和主道路管网。</w:t>
      </w:r>
    </w:p>
    <w:p>
      <w:pPr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1、重庆市养老产业人才培养公共实训基地、教学实训楼</w:t>
      </w:r>
    </w:p>
    <w:p>
      <w:pPr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建设地点为重庆市沙坪坝区城市管理职业学院，总建筑面积约为39075.90m</w:t>
      </w:r>
      <w:r>
        <w:rPr>
          <w:rFonts w:hint="eastAsia" w:ascii="宋体" w:hAnsi="宋体"/>
          <w:bCs/>
          <w:sz w:val="28"/>
          <w:szCs w:val="28"/>
          <w:vertAlign w:val="superscript"/>
        </w:rPr>
        <w:t>2</w:t>
      </w:r>
      <w:r>
        <w:rPr>
          <w:rFonts w:hint="eastAsia" w:ascii="宋体" w:hAnsi="宋体"/>
          <w:bCs/>
          <w:sz w:val="28"/>
          <w:szCs w:val="28"/>
        </w:rPr>
        <w:t>，结构类型为框架结构。建设单位为重庆市管理职业学院，施工单位为重庆洪源建筑集团有限公司。</w:t>
      </w:r>
    </w:p>
    <w:p>
      <w:pPr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2、供电系统（10KV配电）</w:t>
      </w:r>
    </w:p>
    <w:p>
      <w:pPr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建设地点为重庆市沙坪坝区城市管理职业学院，设单位为重庆市管理职业学院，施工单位为重庆三峡水利电力建设有限公司。</w:t>
      </w:r>
    </w:p>
    <w:p>
      <w:pPr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3、主道路管网</w:t>
      </w:r>
    </w:p>
    <w:p>
      <w:pPr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建设地点为重庆市沙坪坝区城市管理职业学院，设单位为重庆市管理职业学院，施工单位为重庆建工第八建设有限责任公司。</w:t>
      </w:r>
    </w:p>
    <w:p>
      <w:pPr>
        <w:pStyle w:val="10"/>
        <w:numPr>
          <w:ilvl w:val="0"/>
          <w:numId w:val="1"/>
        </w:numPr>
        <w:ind w:firstLineChars="0"/>
        <w:jc w:val="left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跟踪审计情况</w:t>
      </w:r>
    </w:p>
    <w:p>
      <w:pPr>
        <w:pStyle w:val="10"/>
        <w:numPr>
          <w:ilvl w:val="0"/>
          <w:numId w:val="2"/>
        </w:numPr>
        <w:ind w:firstLineChars="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项目组成人员</w:t>
      </w:r>
    </w:p>
    <w:p>
      <w:pPr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项目负责人：杨富奎</w:t>
      </w:r>
    </w:p>
    <w:p>
      <w:pPr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现场人员：许潇云、周雪</w:t>
      </w:r>
    </w:p>
    <w:p>
      <w:pPr>
        <w:pStyle w:val="10"/>
        <w:numPr>
          <w:ilvl w:val="0"/>
          <w:numId w:val="2"/>
        </w:numPr>
        <w:ind w:firstLineChars="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督促委托人严格执行基本建设程序及基本建设管理制度。</w:t>
      </w:r>
    </w:p>
    <w:p>
      <w:pPr>
        <w:pStyle w:val="10"/>
        <w:numPr>
          <w:ilvl w:val="0"/>
          <w:numId w:val="2"/>
        </w:numPr>
        <w:ind w:firstLineChars="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协助委托人进行各类合同的谈判、管理，对工程造价相关资料进行收集、管理。</w:t>
      </w:r>
    </w:p>
    <w:p>
      <w:pPr>
        <w:pStyle w:val="10"/>
        <w:numPr>
          <w:ilvl w:val="0"/>
          <w:numId w:val="2"/>
        </w:numPr>
        <w:ind w:firstLineChars="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负责工程竣工结算审核。</w:t>
      </w:r>
    </w:p>
    <w:p>
      <w:pPr>
        <w:pStyle w:val="10"/>
        <w:numPr>
          <w:ilvl w:val="0"/>
          <w:numId w:val="2"/>
        </w:numPr>
        <w:ind w:firstLineChars="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测算合同中的暂定金额，对暂定金额提出书面咨询意见。</w:t>
      </w:r>
    </w:p>
    <w:p>
      <w:pPr>
        <w:pStyle w:val="10"/>
        <w:numPr>
          <w:ilvl w:val="0"/>
          <w:numId w:val="2"/>
        </w:numPr>
        <w:ind w:firstLineChars="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对工程变更进行分析和认证，测算增(减)的造价，向委托人提供咨询意见。</w:t>
      </w:r>
    </w:p>
    <w:p>
      <w:pPr>
        <w:pStyle w:val="10"/>
        <w:numPr>
          <w:ilvl w:val="0"/>
          <w:numId w:val="2"/>
        </w:numPr>
        <w:ind w:firstLineChars="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参与现场收方，对各类收方和签证的合规性、及时性、完整性、真实性提出审核意见。</w:t>
      </w:r>
    </w:p>
    <w:p>
      <w:pPr>
        <w:pStyle w:val="10"/>
        <w:numPr>
          <w:ilvl w:val="0"/>
          <w:numId w:val="2"/>
        </w:numPr>
        <w:ind w:firstLineChars="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参加与造价密切相关的隐蔽工程验收、工程阶段性验收、单位工程的竣工验收。</w:t>
      </w:r>
    </w:p>
    <w:p>
      <w:pPr>
        <w:pStyle w:val="10"/>
        <w:numPr>
          <w:ilvl w:val="0"/>
          <w:numId w:val="2"/>
        </w:numPr>
        <w:ind w:firstLineChars="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分析工程索赔依据，防止或减少工程索赔事件的发生。</w:t>
      </w:r>
    </w:p>
    <w:p>
      <w:pPr>
        <w:pStyle w:val="10"/>
        <w:numPr>
          <w:ilvl w:val="0"/>
          <w:numId w:val="2"/>
        </w:numPr>
        <w:ind w:firstLineChars="0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参加建设单位、监理单位、施工单位的工作联系例会（如监理例会、设计交底会、现场洽商会等），及时掌握施工过程中对造价的影响情况。</w:t>
      </w:r>
    </w:p>
    <w:p>
      <w:pPr>
        <w:pStyle w:val="10"/>
        <w:numPr>
          <w:ilvl w:val="0"/>
          <w:numId w:val="1"/>
        </w:numPr>
        <w:ind w:firstLineChars="0"/>
        <w:jc w:val="left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本周跟踪审计记录情况</w:t>
      </w:r>
    </w:p>
    <w:p>
      <w:pPr>
        <w:pStyle w:val="10"/>
        <w:numPr>
          <w:ilvl w:val="0"/>
          <w:numId w:val="3"/>
        </w:numPr>
        <w:ind w:leftChars="200"/>
        <w:jc w:val="left"/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  <w:t>C、D区挖沟槽、绑地梁、准备打垫层。</w:t>
      </w:r>
    </w:p>
    <w:p>
      <w:pPr>
        <w:pStyle w:val="10"/>
        <w:numPr>
          <w:ilvl w:val="0"/>
          <w:numId w:val="3"/>
        </w:numPr>
        <w:ind w:leftChars="200"/>
        <w:jc w:val="left"/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  <w:t>A、B区8.7m层高正在搭浇筑混凝土的模板。</w:t>
      </w:r>
    </w:p>
    <w:p>
      <w:pPr>
        <w:pStyle w:val="10"/>
        <w:numPr>
          <w:ilvl w:val="0"/>
          <w:numId w:val="3"/>
        </w:numPr>
        <w:ind w:leftChars="200"/>
        <w:jc w:val="left"/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  <w:t>对于有水的桩采用C30水下砼。</w:t>
      </w:r>
      <w:bookmarkStart w:id="0" w:name="_GoBack"/>
      <w:bookmarkEnd w:id="0"/>
    </w:p>
    <w:p>
      <w:pPr>
        <w:pStyle w:val="10"/>
        <w:numPr>
          <w:ilvl w:val="0"/>
          <w:numId w:val="0"/>
        </w:numPr>
        <w:ind w:leftChars="0"/>
        <w:jc w:val="left"/>
        <w:rPr>
          <w:rFonts w:hint="eastAsia" w:ascii="宋体" w:hAnsi="宋体"/>
          <w:b/>
          <w:bCs/>
          <w:sz w:val="28"/>
          <w:szCs w:val="28"/>
          <w:lang w:val="en-US" w:eastAsia="zh-CN"/>
        </w:rPr>
      </w:pPr>
    </w:p>
    <w:p>
      <w:pPr>
        <w:pStyle w:val="10"/>
        <w:numPr>
          <w:ilvl w:val="0"/>
          <w:numId w:val="0"/>
        </w:numPr>
        <w:ind w:leftChars="0"/>
        <w:jc w:val="left"/>
        <w:rPr>
          <w:rFonts w:hint="eastAsia" w:ascii="宋体" w:hAnsi="宋体"/>
          <w:b/>
          <w:bCs/>
          <w:sz w:val="28"/>
          <w:szCs w:val="28"/>
          <w:lang w:val="en-US" w:eastAsia="zh-CN"/>
        </w:rPr>
      </w:pPr>
    </w:p>
    <w:p>
      <w:pPr>
        <w:pStyle w:val="10"/>
        <w:numPr>
          <w:ilvl w:val="0"/>
          <w:numId w:val="0"/>
        </w:numPr>
        <w:ind w:leftChars="0"/>
        <w:jc w:val="left"/>
        <w:rPr>
          <w:rFonts w:hint="eastAsia" w:ascii="宋体" w:hAnsi="宋体"/>
          <w:b/>
          <w:bCs/>
          <w:sz w:val="28"/>
          <w:szCs w:val="28"/>
          <w:lang w:val="en-US" w:eastAsia="zh-CN"/>
        </w:rPr>
      </w:pPr>
    </w:p>
    <w:p>
      <w:pPr>
        <w:pStyle w:val="10"/>
        <w:numPr>
          <w:ilvl w:val="0"/>
          <w:numId w:val="0"/>
        </w:numPr>
        <w:ind w:leftChars="0"/>
        <w:jc w:val="left"/>
        <w:rPr>
          <w:rFonts w:hint="eastAsia" w:ascii="宋体" w:hAnsi="宋体"/>
          <w:b/>
          <w:bCs/>
          <w:sz w:val="28"/>
          <w:szCs w:val="28"/>
          <w:lang w:val="en-US" w:eastAsia="zh-CN"/>
        </w:rPr>
      </w:pPr>
    </w:p>
    <w:p>
      <w:pPr>
        <w:pStyle w:val="10"/>
        <w:ind w:left="720" w:firstLine="0" w:firstLineChars="0"/>
        <w:jc w:val="left"/>
        <w:rPr>
          <w:rFonts w:hint="eastAsia" w:ascii="宋体" w:hAnsi="宋体"/>
          <w:b/>
          <w:bCs/>
          <w:sz w:val="28"/>
          <w:szCs w:val="28"/>
        </w:rPr>
      </w:pPr>
    </w:p>
    <w:p>
      <w:pPr>
        <w:jc w:val="left"/>
        <w:rPr>
          <w:rFonts w:hint="eastAsia" w:ascii="宋体" w:hAnsi="宋体"/>
          <w:bCs/>
          <w:sz w:val="28"/>
          <w:szCs w:val="28"/>
        </w:rPr>
      </w:pPr>
    </w:p>
    <w:p>
      <w:pPr>
        <w:jc w:val="left"/>
        <w:rPr>
          <w:rFonts w:hint="eastAsia" w:ascii="宋体" w:hAnsi="宋体"/>
          <w:bCs/>
          <w:sz w:val="28"/>
          <w:szCs w:val="28"/>
        </w:rPr>
      </w:pPr>
    </w:p>
    <w:p>
      <w:pPr>
        <w:jc w:val="center"/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208082F"/>
    <w:multiLevelType w:val="singleLevel"/>
    <w:tmpl w:val="D208082F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5480E0D"/>
    <w:multiLevelType w:val="multilevel"/>
    <w:tmpl w:val="15480E0D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CCB7411"/>
    <w:multiLevelType w:val="multilevel"/>
    <w:tmpl w:val="3CCB7411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361AD"/>
    <w:rsid w:val="00125EEB"/>
    <w:rsid w:val="00254828"/>
    <w:rsid w:val="002E3E98"/>
    <w:rsid w:val="00331497"/>
    <w:rsid w:val="00527DF1"/>
    <w:rsid w:val="0058243B"/>
    <w:rsid w:val="00654F63"/>
    <w:rsid w:val="00660309"/>
    <w:rsid w:val="006C6EC4"/>
    <w:rsid w:val="00A05292"/>
    <w:rsid w:val="00A361AD"/>
    <w:rsid w:val="00AF47AF"/>
    <w:rsid w:val="00C009AE"/>
    <w:rsid w:val="00C52F86"/>
    <w:rsid w:val="00E27EB8"/>
    <w:rsid w:val="00E40322"/>
    <w:rsid w:val="00E44F22"/>
    <w:rsid w:val="00ED6690"/>
    <w:rsid w:val="00F35E88"/>
    <w:rsid w:val="02C90E73"/>
    <w:rsid w:val="044C7577"/>
    <w:rsid w:val="071C787D"/>
    <w:rsid w:val="16154F84"/>
    <w:rsid w:val="1B9B5F6A"/>
    <w:rsid w:val="1BE91047"/>
    <w:rsid w:val="21F02C6A"/>
    <w:rsid w:val="290E2992"/>
    <w:rsid w:val="293E4316"/>
    <w:rsid w:val="32D90A9C"/>
    <w:rsid w:val="36622FED"/>
    <w:rsid w:val="3F44089E"/>
    <w:rsid w:val="44361C73"/>
    <w:rsid w:val="451C7ED6"/>
    <w:rsid w:val="49D3044B"/>
    <w:rsid w:val="4F1512C9"/>
    <w:rsid w:val="50913F82"/>
    <w:rsid w:val="5395398C"/>
    <w:rsid w:val="53A64EC8"/>
    <w:rsid w:val="56827620"/>
    <w:rsid w:val="587C283A"/>
    <w:rsid w:val="5C4F63BE"/>
    <w:rsid w:val="60F52AAE"/>
    <w:rsid w:val="6F3D5A5E"/>
    <w:rsid w:val="71B6596C"/>
    <w:rsid w:val="77143E95"/>
    <w:rsid w:val="7A387182"/>
    <w:rsid w:val="7BF662EF"/>
    <w:rsid w:val="7C15758F"/>
    <w:rsid w:val="7D4E65D5"/>
    <w:rsid w:val="7FD9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8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日期 Char"/>
    <w:basedOn w:val="5"/>
    <w:link w:val="3"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9">
    <w:name w:val="标题 1 Char"/>
    <w:basedOn w:val="5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5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218</Words>
  <Characters>1249</Characters>
  <Lines>10</Lines>
  <Paragraphs>2</Paragraphs>
  <TotalTime>58</TotalTime>
  <ScaleCrop>false</ScaleCrop>
  <LinksUpToDate>false</LinksUpToDate>
  <CharactersWithSpaces>1465</CharactersWithSpaces>
  <Application>WPS Office_10.1.0.7670_F1E327BC-269C-435d-A152-05C5408002CA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2018-10-11T05:45:00Z</dcterms:created>
  <dc:creator>Administrator</dc:creator>
  <cp:lastModifiedBy>Administrator</cp:lastModifiedBy>
  <dcterms:modified xsi:type="dcterms:W3CDTF">2018-11-15T06:28:03Z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